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97" w:rsidRPr="00786C47" w:rsidRDefault="0020090A">
      <w:r w:rsidRPr="00786C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-415925</wp:posOffset>
            </wp:positionV>
            <wp:extent cx="758190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597" w:rsidRPr="00786C47" w:rsidRDefault="009E7597" w:rsidP="009E7597"/>
    <w:p w:rsidR="009E7597" w:rsidRPr="00786C47" w:rsidRDefault="009E7597" w:rsidP="009E7597"/>
    <w:p w:rsidR="009E7597" w:rsidRPr="00786C47" w:rsidRDefault="009E7597" w:rsidP="009E7597"/>
    <w:p w:rsidR="009E7597" w:rsidRPr="00786C47" w:rsidRDefault="009E7597" w:rsidP="009E7597"/>
    <w:p w:rsidR="009E7597" w:rsidRPr="00786C47" w:rsidRDefault="009E7597" w:rsidP="009E7597">
      <w:pPr>
        <w:tabs>
          <w:tab w:val="left" w:pos="1728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86C4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УКРАЇНСЬКЕ СУСПІЛЬСТВО ЗА 25 РОКІВ: ДИНАМІКА ДЕЯКИХ СОЦІАЛЬНИХ ПОКАЗНИКІВ. </w:t>
      </w:r>
    </w:p>
    <w:p w:rsidR="00FA0243" w:rsidRPr="00786C47" w:rsidRDefault="009E7597" w:rsidP="009E7597">
      <w:pPr>
        <w:tabs>
          <w:tab w:val="left" w:pos="1728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86C47">
        <w:rPr>
          <w:rFonts w:ascii="Times New Roman" w:hAnsi="Times New Roman" w:cs="Times New Roman"/>
          <w:b/>
          <w:color w:val="0070C0"/>
          <w:sz w:val="32"/>
          <w:szCs w:val="32"/>
        </w:rPr>
        <w:t>ДО 25-РІЧЧЯ КИЇВСЬКОГО МІЖНАРОДНОГО ІНСТИТУТУ СОЦІОЛОГІЇ</w:t>
      </w:r>
    </w:p>
    <w:p w:rsidR="008943BA" w:rsidRPr="00786C47" w:rsidRDefault="0020390C" w:rsidP="005B7447">
      <w:p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C47">
        <w:rPr>
          <w:rStyle w:val="a3"/>
          <w:rFonts w:ascii="Times New Roman" w:hAnsi="Times New Roman" w:cs="Times New Roman"/>
          <w:sz w:val="24"/>
          <w:szCs w:val="24"/>
        </w:rPr>
        <w:t>Київський міжнародний інститут соціології (КМІС)</w:t>
      </w:r>
      <w:r w:rsidRPr="00786C47">
        <w:rPr>
          <w:rFonts w:ascii="Times New Roman" w:hAnsi="Times New Roman" w:cs="Times New Roman"/>
          <w:sz w:val="24"/>
          <w:szCs w:val="24"/>
        </w:rPr>
        <w:t xml:space="preserve"> — одна з </w:t>
      </w:r>
      <w:r w:rsidR="00F8136D" w:rsidRPr="00786C47">
        <w:rPr>
          <w:rFonts w:ascii="Times New Roman" w:hAnsi="Times New Roman" w:cs="Times New Roman"/>
          <w:sz w:val="24"/>
          <w:szCs w:val="24"/>
        </w:rPr>
        <w:t>перших</w:t>
      </w:r>
      <w:r w:rsidRPr="00786C47">
        <w:rPr>
          <w:rFonts w:ascii="Times New Roman" w:hAnsi="Times New Roman" w:cs="Times New Roman"/>
          <w:sz w:val="24"/>
          <w:szCs w:val="24"/>
        </w:rPr>
        <w:t xml:space="preserve"> дослідницьких компаній</w:t>
      </w:r>
      <w:r w:rsidR="00F8136D" w:rsidRPr="00786C47">
        <w:rPr>
          <w:rFonts w:ascii="Times New Roman" w:hAnsi="Times New Roman" w:cs="Times New Roman"/>
          <w:sz w:val="24"/>
          <w:szCs w:val="24"/>
        </w:rPr>
        <w:t xml:space="preserve">, що з’явилися в незалежній Україні. </w:t>
      </w:r>
      <w:r w:rsidRPr="00786C47">
        <w:rPr>
          <w:rFonts w:ascii="Times New Roman" w:hAnsi="Times New Roman" w:cs="Times New Roman"/>
          <w:sz w:val="24"/>
          <w:szCs w:val="24"/>
        </w:rPr>
        <w:t>За 25 років існування КМІС</w:t>
      </w:r>
      <w:r w:rsidR="00F8136D" w:rsidRPr="00786C47">
        <w:rPr>
          <w:rFonts w:ascii="Times New Roman" w:hAnsi="Times New Roman" w:cs="Times New Roman"/>
          <w:sz w:val="24"/>
          <w:szCs w:val="24"/>
        </w:rPr>
        <w:t xml:space="preserve"> провів тисячі досліджень і</w:t>
      </w:r>
      <w:r w:rsidRPr="00786C47">
        <w:rPr>
          <w:rFonts w:ascii="Times New Roman" w:hAnsi="Times New Roman" w:cs="Times New Roman"/>
          <w:sz w:val="24"/>
          <w:szCs w:val="24"/>
        </w:rPr>
        <w:t xml:space="preserve"> накопичив значний об’єм інформації. </w:t>
      </w:r>
      <w:r w:rsidR="00F8136D" w:rsidRPr="00786C47">
        <w:rPr>
          <w:rFonts w:ascii="Times New Roman" w:hAnsi="Times New Roman" w:cs="Times New Roman"/>
          <w:sz w:val="24"/>
          <w:szCs w:val="24"/>
        </w:rPr>
        <w:t>Зараз КМІС виконує біля 150 проектів на рік</w:t>
      </w:r>
      <w:r w:rsidR="00805ECD" w:rsidRPr="00786C47">
        <w:rPr>
          <w:rFonts w:ascii="Times New Roman" w:hAnsi="Times New Roman" w:cs="Times New Roman"/>
          <w:sz w:val="24"/>
          <w:szCs w:val="24"/>
        </w:rPr>
        <w:t>.</w:t>
      </w:r>
      <w:r w:rsidR="00F8136D" w:rsidRPr="00786C47">
        <w:rPr>
          <w:rFonts w:ascii="Times New Roman" w:hAnsi="Times New Roman" w:cs="Times New Roman"/>
          <w:sz w:val="24"/>
          <w:szCs w:val="24"/>
        </w:rPr>
        <w:t xml:space="preserve"> </w:t>
      </w:r>
      <w:r w:rsidR="008943BA" w:rsidRPr="00786C47">
        <w:rPr>
          <w:rFonts w:ascii="Times New Roman" w:hAnsi="Times New Roman" w:cs="Times New Roman"/>
          <w:sz w:val="24"/>
          <w:szCs w:val="24"/>
        </w:rPr>
        <w:t>У даному прес-релізі ми презентуємо</w:t>
      </w:r>
      <w:r w:rsidR="00F8136D" w:rsidRPr="00786C47">
        <w:rPr>
          <w:rFonts w:ascii="Times New Roman" w:hAnsi="Times New Roman" w:cs="Times New Roman"/>
          <w:sz w:val="24"/>
          <w:szCs w:val="24"/>
        </w:rPr>
        <w:t xml:space="preserve"> деяк</w:t>
      </w:r>
      <w:r w:rsidR="00805ECD" w:rsidRPr="00786C47">
        <w:rPr>
          <w:rFonts w:ascii="Times New Roman" w:hAnsi="Times New Roman" w:cs="Times New Roman"/>
          <w:sz w:val="24"/>
          <w:szCs w:val="24"/>
        </w:rPr>
        <w:t>і</w:t>
      </w:r>
      <w:r w:rsidR="00F8136D" w:rsidRPr="00786C47">
        <w:rPr>
          <w:rFonts w:ascii="Times New Roman" w:hAnsi="Times New Roman" w:cs="Times New Roman"/>
          <w:sz w:val="24"/>
          <w:szCs w:val="24"/>
        </w:rPr>
        <w:t xml:space="preserve"> показник</w:t>
      </w:r>
      <w:r w:rsidR="00805ECD" w:rsidRPr="00786C47">
        <w:rPr>
          <w:rFonts w:ascii="Times New Roman" w:hAnsi="Times New Roman" w:cs="Times New Roman"/>
          <w:sz w:val="24"/>
          <w:szCs w:val="24"/>
        </w:rPr>
        <w:t>и</w:t>
      </w:r>
      <w:r w:rsidR="00F8136D" w:rsidRPr="00786C47">
        <w:rPr>
          <w:rFonts w:ascii="Times New Roman" w:hAnsi="Times New Roman" w:cs="Times New Roman"/>
          <w:sz w:val="24"/>
          <w:szCs w:val="24"/>
        </w:rPr>
        <w:t>, які характеризують</w:t>
      </w:r>
      <w:r w:rsidRPr="00786C47">
        <w:rPr>
          <w:rFonts w:ascii="Times New Roman" w:hAnsi="Times New Roman" w:cs="Times New Roman"/>
          <w:sz w:val="24"/>
          <w:szCs w:val="24"/>
        </w:rPr>
        <w:t xml:space="preserve"> зміни</w:t>
      </w:r>
      <w:r w:rsidR="00F8136D" w:rsidRPr="00786C47">
        <w:rPr>
          <w:rFonts w:ascii="Times New Roman" w:hAnsi="Times New Roman" w:cs="Times New Roman"/>
          <w:sz w:val="24"/>
          <w:szCs w:val="24"/>
        </w:rPr>
        <w:t>, що</w:t>
      </w:r>
      <w:r w:rsidRPr="00786C47">
        <w:rPr>
          <w:rFonts w:ascii="Times New Roman" w:hAnsi="Times New Roman" w:cs="Times New Roman"/>
          <w:sz w:val="24"/>
          <w:szCs w:val="24"/>
        </w:rPr>
        <w:t xml:space="preserve"> відбулися в українському суспільстві за цей період. </w:t>
      </w:r>
    </w:p>
    <w:p w:rsidR="0020390C" w:rsidRPr="00786C47" w:rsidRDefault="00F8136D" w:rsidP="005B7447">
      <w:pPr>
        <w:tabs>
          <w:tab w:val="left" w:pos="172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C47">
        <w:rPr>
          <w:rFonts w:ascii="Times New Roman" w:hAnsi="Times New Roman" w:cs="Times New Roman"/>
          <w:sz w:val="24"/>
          <w:szCs w:val="24"/>
        </w:rPr>
        <w:t>Деякі</w:t>
      </w:r>
      <w:r w:rsidR="0020390C" w:rsidRPr="00786C47">
        <w:rPr>
          <w:rFonts w:ascii="Times New Roman" w:hAnsi="Times New Roman" w:cs="Times New Roman"/>
          <w:sz w:val="24"/>
          <w:szCs w:val="24"/>
        </w:rPr>
        <w:t xml:space="preserve"> теми досліджень КМІС, які </w:t>
      </w:r>
      <w:r w:rsidR="005B7447" w:rsidRPr="00786C47">
        <w:rPr>
          <w:rFonts w:ascii="Times New Roman" w:hAnsi="Times New Roman" w:cs="Times New Roman"/>
          <w:sz w:val="24"/>
          <w:szCs w:val="24"/>
        </w:rPr>
        <w:t xml:space="preserve">аналізуються </w:t>
      </w:r>
      <w:r w:rsidR="0020390C" w:rsidRPr="00786C47">
        <w:rPr>
          <w:rFonts w:ascii="Times New Roman" w:hAnsi="Times New Roman" w:cs="Times New Roman"/>
          <w:sz w:val="24"/>
          <w:szCs w:val="24"/>
        </w:rPr>
        <w:t>протягом багатьох років та презент</w:t>
      </w:r>
      <w:r w:rsidR="00CA03C2" w:rsidRPr="00786C47">
        <w:rPr>
          <w:rFonts w:ascii="Times New Roman" w:hAnsi="Times New Roman" w:cs="Times New Roman"/>
          <w:sz w:val="24"/>
          <w:szCs w:val="24"/>
        </w:rPr>
        <w:t>уються сьогодні</w:t>
      </w:r>
      <w:r w:rsidR="00805ECD" w:rsidRPr="00786C47">
        <w:rPr>
          <w:rFonts w:ascii="Times New Roman" w:hAnsi="Times New Roman" w:cs="Times New Roman"/>
          <w:sz w:val="24"/>
          <w:szCs w:val="24"/>
        </w:rPr>
        <w:t>,</w:t>
      </w:r>
      <w:r w:rsidR="00CA03C2" w:rsidRPr="00786C47">
        <w:rPr>
          <w:rFonts w:ascii="Times New Roman" w:hAnsi="Times New Roman" w:cs="Times New Roman"/>
          <w:sz w:val="24"/>
          <w:szCs w:val="24"/>
        </w:rPr>
        <w:t xml:space="preserve"> – </w:t>
      </w:r>
      <w:r w:rsidR="00CA03C2" w:rsidRPr="00786C47">
        <w:rPr>
          <w:rFonts w:ascii="Times New Roman" w:hAnsi="Times New Roman" w:cs="Times New Roman"/>
          <w:b/>
          <w:i/>
          <w:sz w:val="24"/>
          <w:szCs w:val="24"/>
        </w:rPr>
        <w:t xml:space="preserve">рівень добробуту, щастя та здоров‘я, геополітичні </w:t>
      </w:r>
      <w:r w:rsidR="00824DF5" w:rsidRPr="00786C47">
        <w:rPr>
          <w:rFonts w:ascii="Times New Roman" w:hAnsi="Times New Roman" w:cs="Times New Roman"/>
          <w:b/>
          <w:i/>
          <w:sz w:val="24"/>
          <w:szCs w:val="24"/>
        </w:rPr>
        <w:t>орієнтації</w:t>
      </w:r>
      <w:r w:rsidR="00CA03C2" w:rsidRPr="00786C47">
        <w:rPr>
          <w:rFonts w:ascii="Times New Roman" w:hAnsi="Times New Roman" w:cs="Times New Roman"/>
          <w:b/>
          <w:i/>
          <w:sz w:val="24"/>
          <w:szCs w:val="24"/>
        </w:rPr>
        <w:t xml:space="preserve"> українського суспільства, </w:t>
      </w:r>
      <w:r w:rsidR="00805ECD" w:rsidRPr="00786C47">
        <w:rPr>
          <w:rFonts w:ascii="Times New Roman" w:hAnsi="Times New Roman" w:cs="Times New Roman"/>
          <w:b/>
          <w:i/>
          <w:sz w:val="24"/>
          <w:szCs w:val="24"/>
        </w:rPr>
        <w:t>ставлення</w:t>
      </w:r>
      <w:r w:rsidR="00CA03C2" w:rsidRPr="00786C47">
        <w:rPr>
          <w:rFonts w:ascii="Times New Roman" w:hAnsi="Times New Roman" w:cs="Times New Roman"/>
          <w:b/>
          <w:i/>
          <w:sz w:val="24"/>
          <w:szCs w:val="24"/>
        </w:rPr>
        <w:t xml:space="preserve"> населення України до Росії та навпаки, динамі</w:t>
      </w:r>
      <w:r w:rsidR="00824DF5" w:rsidRPr="00786C47">
        <w:rPr>
          <w:rFonts w:ascii="Times New Roman" w:hAnsi="Times New Roman" w:cs="Times New Roman"/>
          <w:b/>
          <w:i/>
          <w:sz w:val="24"/>
          <w:szCs w:val="24"/>
        </w:rPr>
        <w:t>ка рівн</w:t>
      </w:r>
      <w:r w:rsidR="00805ECD" w:rsidRPr="00786C4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86C47" w:rsidRPr="00786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5ECD" w:rsidRPr="00786C47">
        <w:rPr>
          <w:rFonts w:ascii="Times New Roman" w:hAnsi="Times New Roman" w:cs="Times New Roman"/>
          <w:b/>
          <w:i/>
          <w:sz w:val="24"/>
          <w:szCs w:val="24"/>
        </w:rPr>
        <w:t>користування</w:t>
      </w:r>
      <w:r w:rsidR="00824DF5" w:rsidRPr="00786C47">
        <w:rPr>
          <w:rFonts w:ascii="Times New Roman" w:hAnsi="Times New Roman" w:cs="Times New Roman"/>
          <w:b/>
          <w:i/>
          <w:sz w:val="24"/>
          <w:szCs w:val="24"/>
        </w:rPr>
        <w:t xml:space="preserve"> Інтернет, довіра до соціальних інституцій.</w:t>
      </w:r>
    </w:p>
    <w:p w:rsidR="00CA03C2" w:rsidRPr="00786C47" w:rsidRDefault="004A22C0" w:rsidP="005B7447">
      <w:pPr>
        <w:tabs>
          <w:tab w:val="left" w:pos="17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C47">
        <w:rPr>
          <w:rFonts w:ascii="Times New Roman" w:hAnsi="Times New Roman" w:cs="Times New Roman"/>
          <w:sz w:val="24"/>
          <w:szCs w:val="24"/>
        </w:rPr>
        <w:t xml:space="preserve">Всі дані </w:t>
      </w:r>
      <w:r w:rsidR="00CA03C2" w:rsidRPr="00786C47">
        <w:rPr>
          <w:rFonts w:ascii="Times New Roman" w:hAnsi="Times New Roman" w:cs="Times New Roman"/>
          <w:sz w:val="24"/>
          <w:szCs w:val="24"/>
        </w:rPr>
        <w:t xml:space="preserve">отримані в результаті </w:t>
      </w:r>
      <w:r w:rsidRPr="00786C47">
        <w:rPr>
          <w:rFonts w:ascii="Times New Roman" w:hAnsi="Times New Roman" w:cs="Times New Roman"/>
          <w:sz w:val="24"/>
          <w:szCs w:val="24"/>
        </w:rPr>
        <w:t xml:space="preserve">власних регулярних </w:t>
      </w:r>
      <w:r w:rsidR="00CA03C2" w:rsidRPr="00786C47">
        <w:rPr>
          <w:rFonts w:ascii="Times New Roman" w:hAnsi="Times New Roman" w:cs="Times New Roman"/>
          <w:sz w:val="24"/>
          <w:szCs w:val="24"/>
        </w:rPr>
        <w:t xml:space="preserve">досліджень </w:t>
      </w:r>
      <w:r w:rsidR="00CA03C2" w:rsidRPr="00786C47">
        <w:rPr>
          <w:rFonts w:ascii="Times New Roman" w:hAnsi="Times New Roman" w:cs="Times New Roman"/>
          <w:b/>
          <w:i/>
          <w:sz w:val="24"/>
          <w:szCs w:val="24"/>
        </w:rPr>
        <w:t>Омнібус КМІС</w:t>
      </w:r>
      <w:r w:rsidR="00CA03C2" w:rsidRPr="00786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DF5" w:rsidRPr="00786C47" w:rsidRDefault="00CA03C2" w:rsidP="00FE02A8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86C47">
        <w:rPr>
          <w:rFonts w:ascii="Times New Roman" w:hAnsi="Times New Roman" w:cs="Times New Roman"/>
          <w:b/>
          <w:bCs/>
          <w:i/>
          <w:sz w:val="24"/>
          <w:szCs w:val="24"/>
        </w:rPr>
        <w:t>Омнібус КМІС</w:t>
      </w:r>
      <w:r w:rsidRPr="00786C47">
        <w:t xml:space="preserve"> — </w:t>
      </w:r>
      <w:r w:rsidRPr="00786C47">
        <w:rPr>
          <w:rFonts w:ascii="Times New Roman" w:eastAsia="Times New Roman" w:hAnsi="Times New Roman" w:cs="Times New Roman"/>
          <w:sz w:val="24"/>
          <w:szCs w:val="24"/>
        </w:rPr>
        <w:t>це регулярне багатоцільове опитування населення, проведене на замовлення одночасно декількох замовників з різними завданнями, які спільно його фінансують.</w:t>
      </w:r>
      <w:r w:rsidR="00227EBB" w:rsidRPr="0078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DF5" w:rsidRPr="00786C47">
        <w:rPr>
          <w:rFonts w:ascii="Times New Roman" w:eastAsia="Times New Roman" w:hAnsi="Times New Roman" w:cs="Times New Roman"/>
          <w:sz w:val="24"/>
          <w:szCs w:val="24"/>
        </w:rPr>
        <w:t>Вже багато років КМІС проводить 4 омнібусних дослідження на рік.</w:t>
      </w:r>
    </w:p>
    <w:p w:rsidR="00FE02A8" w:rsidRPr="00786C47" w:rsidRDefault="00FC522A" w:rsidP="00FE02A8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Майже в</w:t>
      </w:r>
      <w:r w:rsidR="00824DF5" w:rsidRPr="00786C47">
        <w:rPr>
          <w:rFonts w:ascii="Times New Roman" w:eastAsia="Times New Roman" w:hAnsi="Times New Roman" w:cs="Times New Roman"/>
          <w:sz w:val="24"/>
          <w:szCs w:val="24"/>
        </w:rPr>
        <w:t>сі д</w:t>
      </w:r>
      <w:r w:rsidR="00FE02A8" w:rsidRPr="00786C47">
        <w:rPr>
          <w:rFonts w:ascii="Times New Roman" w:eastAsia="Times New Roman" w:hAnsi="Times New Roman" w:cs="Times New Roman"/>
          <w:sz w:val="24"/>
          <w:szCs w:val="24"/>
        </w:rPr>
        <w:t xml:space="preserve">ані, які презентуються сьогодні, отримані </w:t>
      </w:r>
      <w:proofErr w:type="spellStart"/>
      <w:r w:rsidR="00FE02A8" w:rsidRPr="00786C47">
        <w:rPr>
          <w:rFonts w:ascii="Times New Roman" w:eastAsia="Times New Roman" w:hAnsi="Times New Roman" w:cs="Times New Roman"/>
          <w:sz w:val="24"/>
          <w:szCs w:val="24"/>
        </w:rPr>
        <w:t>КМІСом</w:t>
      </w:r>
      <w:proofErr w:type="spellEnd"/>
      <w:r w:rsidR="00FE02A8" w:rsidRPr="00786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725" w:rsidRPr="00786C4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E02A8" w:rsidRPr="00786C47">
        <w:rPr>
          <w:rFonts w:ascii="Times New Roman" w:eastAsia="Times New Roman" w:hAnsi="Times New Roman" w:cs="Times New Roman"/>
          <w:sz w:val="24"/>
          <w:szCs w:val="24"/>
        </w:rPr>
        <w:t xml:space="preserve"> власні кошти</w:t>
      </w:r>
      <w:r w:rsidR="00E82725" w:rsidRPr="00786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EBB" w:rsidRPr="00786C47" w:rsidRDefault="00227EBB" w:rsidP="003814A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Style w:val="a3"/>
          <w:rFonts w:ascii="Times New Roman" w:eastAsia="Times New Roman" w:hAnsi="Times New Roman" w:cs="Times New Roman"/>
          <w:i/>
          <w:sz w:val="24"/>
          <w:szCs w:val="24"/>
        </w:rPr>
        <w:t>Методика опитування Омнібус</w:t>
      </w:r>
      <w:r w:rsidR="005B7447" w:rsidRPr="00786C47">
        <w:t xml:space="preserve">. </w:t>
      </w:r>
      <w:r w:rsidR="00FE02A8" w:rsidRPr="00786C47">
        <w:rPr>
          <w:rFonts w:ascii="Times New Roman" w:hAnsi="Times New Roman"/>
          <w:i/>
          <w:iCs/>
          <w:sz w:val="24"/>
          <w:szCs w:val="24"/>
          <w:lang w:eastAsia="ru-RU"/>
        </w:rPr>
        <w:t>Всеукраї</w:t>
      </w:r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>нське опитування громадської думки,</w:t>
      </w:r>
      <w:r w:rsidRPr="00786C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методом особистого інтерв'ю </w:t>
      </w:r>
      <w:proofErr w:type="spellStart"/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>опиту</w:t>
      </w:r>
      <w:r w:rsidR="00FE02A8" w:rsidRPr="00786C47">
        <w:rPr>
          <w:rFonts w:ascii="Times New Roman" w:hAnsi="Times New Roman"/>
          <w:i/>
          <w:iCs/>
          <w:sz w:val="24"/>
          <w:szCs w:val="24"/>
          <w:lang w:eastAsia="ru-RU"/>
        </w:rPr>
        <w:t>ю</w:t>
      </w:r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приблизно 2000</w:t>
      </w:r>
      <w:r w:rsidR="00786C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респондентів, що мешкають у 110 населених пунктах усіх регіонів України (</w:t>
      </w:r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починаючи з 2014 р. — 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крім АР Крим) за 4-х ступеневою стохастичною вибіркою, що репрезентативна для населення України віком від 18 років.</w:t>
      </w:r>
    </w:p>
    <w:p w:rsidR="00227EBB" w:rsidRPr="00786C47" w:rsidRDefault="00227EBB" w:rsidP="003814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У Луганській і Донецькій областях</w:t>
      </w:r>
      <w:r w:rsidR="00F91BC1">
        <w:rPr>
          <w:rFonts w:ascii="Times New Roman" w:hAnsi="Times New Roman"/>
          <w:i/>
          <w:iCs/>
          <w:sz w:val="24"/>
          <w:szCs w:val="24"/>
          <w:lang w:eastAsia="ru-RU"/>
        </w:rPr>
        <w:t>, починаючи /</w:t>
      </w:r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2014 р.,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опитування провод</w:t>
      </w:r>
      <w:r w:rsidR="005B74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>ять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ся тільки на території, що контролюється українською владою. </w:t>
      </w:r>
    </w:p>
    <w:p w:rsidR="00FE02A8" w:rsidRPr="00786C47" w:rsidRDefault="00FE02A8" w:rsidP="003814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E02A8" w:rsidRPr="00786C47" w:rsidRDefault="00227EBB" w:rsidP="003814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Статистична похибка вибірки (з імовірністю 0,95 і за д</w:t>
      </w:r>
      <w:r w:rsidR="00824DF5" w:rsidRPr="00786C47">
        <w:rPr>
          <w:rFonts w:ascii="Times New Roman" w:hAnsi="Times New Roman"/>
          <w:i/>
          <w:iCs/>
          <w:sz w:val="24"/>
          <w:szCs w:val="24"/>
          <w:lang w:eastAsia="ru-RU"/>
        </w:rPr>
        <w:t>изайн</w:t>
      </w:r>
      <w:r w:rsidR="00805ECD" w:rsidRPr="00786C47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="00824DF5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ефекту 1,5) не перевищує 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3,3% для показників</w:t>
      </w:r>
      <w:r w:rsidR="00805ECD" w:rsidRPr="00786C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близьких до 50%,</w:t>
      </w:r>
      <w:r w:rsidR="00786C47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2,8% — для показників</w:t>
      </w:r>
      <w:r w:rsidR="00805ECD" w:rsidRPr="00786C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близьких до 25%, </w:t>
      </w:r>
    </w:p>
    <w:p w:rsidR="00227EBB" w:rsidRPr="00786C47" w:rsidRDefault="00227EBB" w:rsidP="003814A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>2,0% — для показників</w:t>
      </w:r>
      <w:r w:rsidR="00805ECD" w:rsidRPr="00786C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близьких до 10%, 1,4% — для показників</w:t>
      </w:r>
      <w:r w:rsidR="00805ECD" w:rsidRPr="00786C4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близьких до 5%.</w:t>
      </w:r>
    </w:p>
    <w:p w:rsidR="00E82725" w:rsidRPr="00786C47" w:rsidRDefault="00E82725" w:rsidP="003814AE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82725" w:rsidRPr="00786C47" w:rsidRDefault="00E82725" w:rsidP="003814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i/>
          <w:iCs/>
          <w:sz w:val="24"/>
          <w:szCs w:val="24"/>
          <w:lang w:eastAsia="ru-RU"/>
        </w:rPr>
        <w:t>Останнє опитування КМІС Омнібус було проведен</w:t>
      </w:r>
      <w:r w:rsidR="00805ECD" w:rsidRPr="00786C47">
        <w:rPr>
          <w:rFonts w:ascii="Times New Roman" w:hAnsi="Times New Roman"/>
          <w:b/>
          <w:i/>
          <w:iCs/>
          <w:sz w:val="24"/>
          <w:szCs w:val="24"/>
          <w:lang w:eastAsia="ru-RU"/>
        </w:rPr>
        <w:t>е</w:t>
      </w:r>
      <w:r w:rsidRPr="00786C47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з 2 по 14 грудня 2017 року.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Методом особистого інтерв'ю опитано 2039 респондентів, що мешкають у 110 населених пунктах усіх регіонів України (крім АР Крим) за 4-х ступеневою стохастичною вибіркою, що репрезентативна для населення України віком від 18 років.</w:t>
      </w:r>
    </w:p>
    <w:p w:rsidR="00E82725" w:rsidRPr="00786C47" w:rsidRDefault="00E82725" w:rsidP="003814A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Луганській і Донецькій областях опитування проводилося тільки на території, що контролюється українською владою. </w:t>
      </w:r>
    </w:p>
    <w:p w:rsidR="00E82725" w:rsidRPr="00786C47" w:rsidRDefault="00E82725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24DF5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Рівень бідності в Україні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i/>
          <w:iCs/>
          <w:sz w:val="24"/>
          <w:szCs w:val="24"/>
          <w:lang w:eastAsia="ru-RU"/>
        </w:rPr>
        <w:t>Діаграма 1</w:t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Рівень бідності </w:t>
      </w:r>
      <w:r w:rsidRPr="00F91B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1994-2017 </w:t>
      </w: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(суб</w:t>
      </w:r>
      <w:r w:rsidRPr="00F91B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’</w:t>
      </w: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єктивна самооцінка)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580869" cy="3553948"/>
            <wp:effectExtent l="0" t="0" r="127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660508" w:rsidP="00660508">
      <w:pPr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Ми вимірюємо відсоток людей, які вважають, що вони не мають достатньо грошей на їжу, починаючи з 1994 року</w:t>
      </w:r>
      <w:r w:rsidR="002D6670" w:rsidRPr="00786C4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За 10 років, з 1998 по 2008 рік, рівень бідності знизився з 52% до 11%, і це одне з небагатьох, але важливих досягнень України. </w:t>
      </w:r>
      <w:r w:rsidRPr="00F91BC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 2008 році після початку світової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кризи рівень бідності зріс, а потім впав до 9%. Після початку військового конфлікту у 2014 році знову спостерігається зростання рівня бідності, який протягом 2014-2015 років зріс майже вдвічі, але потім у 2016 році ситуація стабілізувалася і у 2017 році відбулося </w:t>
      </w:r>
      <w:r w:rsidR="002D6670" w:rsidRPr="00786C47">
        <w:rPr>
          <w:rFonts w:ascii="Times New Roman" w:hAnsi="Times New Roman"/>
          <w:iCs/>
          <w:sz w:val="24"/>
          <w:szCs w:val="24"/>
          <w:lang w:eastAsia="ru-RU"/>
        </w:rPr>
        <w:t>зменшення рівня бідності до 12%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2D6670" w:rsidRPr="00786C47">
        <w:rPr>
          <w:rFonts w:ascii="Times New Roman" w:hAnsi="Times New Roman"/>
          <w:iCs/>
          <w:sz w:val="24"/>
          <w:szCs w:val="24"/>
          <w:lang w:eastAsia="ru-RU"/>
        </w:rPr>
        <w:t>(це високий показник, але за всі роки існування України як незалежної держави він був менший тільки у 2008 до початку фінансової кризи, у 2013 і на початку 2014).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2D6670" w:rsidRPr="00786C47">
        <w:rPr>
          <w:rFonts w:ascii="Times New Roman" w:hAnsi="Times New Roman"/>
          <w:iCs/>
          <w:sz w:val="24"/>
          <w:szCs w:val="24"/>
          <w:lang w:eastAsia="ru-RU"/>
        </w:rPr>
        <w:t>У 2012 році рівень бідності теж був 12%, а в усі інші роки незалежності України рівень бідності був вищи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="002D6670" w:rsidRPr="00786C47">
        <w:rPr>
          <w:rFonts w:ascii="Times New Roman" w:hAnsi="Times New Roman"/>
          <w:iCs/>
          <w:sz w:val="24"/>
          <w:szCs w:val="24"/>
          <w:lang w:eastAsia="ru-RU"/>
        </w:rPr>
        <w:t>, ніж зараз.</w:t>
      </w:r>
    </w:p>
    <w:p w:rsidR="002D6670" w:rsidRPr="00786C47" w:rsidRDefault="002D6670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br w:type="page"/>
      </w:r>
    </w:p>
    <w:p w:rsidR="00660508" w:rsidRPr="00786C47" w:rsidRDefault="002D6670" w:rsidP="00E82725">
      <w:pPr>
        <w:spacing w:after="0" w:line="360" w:lineRule="auto"/>
        <w:ind w:firstLine="708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Модернізація.</w:t>
      </w:r>
      <w:r w:rsidR="00786C47" w:rsidRPr="00786C4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t>Користування мережею Інтернет.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512678" cy="4134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464" cy="416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2D6670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t>Здоров’я.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4780994" cy="358574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395" cy="36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08" w:rsidRPr="00786C47" w:rsidRDefault="00534131" w:rsidP="008A1C61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lastRenderedPageBreak/>
        <w:t>Масштабне дослідження куріння, що проведен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нами у 2007 та 2017 роках як частин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міжнародного проекту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показало, що загальна кількість курців скоротилася з 28% до 23%, особливо серед чоловіків (на 10 процентних пунктів – з 50% до 40%). </w:t>
      </w: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60508" w:rsidRPr="00786C47" w:rsidRDefault="0066050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168379" cy="3876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69" cy="39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34131" w:rsidRPr="00786C47" w:rsidRDefault="00534131" w:rsidP="008A1C6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Медичні дослідження підтверджують, що самооцінка стану свого здоров’я є одним з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надійних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показників стану здоров’я людини.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Як бачимо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за останні 4 роки, незважаючи на війну, 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>здоров’я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населення практично не змінилося.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Близько 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>38% населення вважають, що у них добре здоров’я,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>19% відсотків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–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що погане, а інші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–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що 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по</w:t>
      </w:r>
      <w:r w:rsidR="008A1C61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середнє. </w:t>
      </w:r>
    </w:p>
    <w:p w:rsidR="008A1C61" w:rsidRPr="00786C47" w:rsidRDefault="008A1C61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sz w:val="24"/>
          <w:szCs w:val="24"/>
          <w:lang w:eastAsia="ru-RU"/>
        </w:rPr>
        <w:br w:type="page"/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A1C61" w:rsidRPr="00786C47" w:rsidRDefault="008A1C61" w:rsidP="008A1C61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t>Щастя.</w:t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187461" cy="38905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081" cy="390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8A1C61" w:rsidP="008A1C6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Як бачимо, війна не позначилася суттєво на рівні щастя населення України (ми використовували пряме запитання «Чи вважаєте Ви себе щасливим?»), у 2013 році 58% вважали себе щасливими, а у 2015 – 59%.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Зараз рівень щастя дещо знизився, але детальний аналіз показав, що це відбулося за рахунок тих зон, в яких люди безпосередньо переживають війну</w:t>
      </w:r>
      <w:r w:rsidR="003814AE" w:rsidRPr="00786C47">
        <w:rPr>
          <w:rFonts w:ascii="Times New Roman" w:hAnsi="Times New Roman"/>
          <w:iCs/>
          <w:sz w:val="24"/>
          <w:szCs w:val="24"/>
          <w:lang w:eastAsia="ru-RU"/>
        </w:rPr>
        <w:t>, респонденти в інших регіонах України в основному такі ж щасливі, як і перед вій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ною.</w:t>
      </w:r>
    </w:p>
    <w:p w:rsidR="00A11715" w:rsidRPr="00786C47" w:rsidRDefault="00A11715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br w:type="page"/>
      </w:r>
    </w:p>
    <w:p w:rsidR="008A1C61" w:rsidRPr="00786C47" w:rsidRDefault="00A11715" w:rsidP="008A1C61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86C47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Незалежність України</w:t>
      </w:r>
    </w:p>
    <w:p w:rsidR="00A11715" w:rsidRPr="00786C47" w:rsidRDefault="00A11715" w:rsidP="008A1C61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410200" cy="40576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09" cy="40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175738" cy="3881804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13" cy="389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350B7" w:rsidRPr="00786C47" w:rsidRDefault="007350B7" w:rsidP="007350B7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Запитання, яке ми регулярно 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ставимо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респондентам, починаючи з 1991 року:</w:t>
      </w:r>
    </w:p>
    <w:p w:rsidR="007350B7" w:rsidRPr="00786C47" w:rsidRDefault="007350B7" w:rsidP="007350B7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«Якими б Ви хотіли бачити відносини України з Росією?» з такими варіантами відповіді:</w:t>
      </w:r>
    </w:p>
    <w:p w:rsidR="007350B7" w:rsidRPr="00786C47" w:rsidRDefault="007350B7" w:rsidP="007350B7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1. Відносини Україн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з Росі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єю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мають бути такими ж, як з іншими державами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– із закритими кордонами, візами, митницями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7350B7" w:rsidRPr="00786C47" w:rsidRDefault="007350B7" w:rsidP="007350B7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2.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Україна й Росія мають бути незалежними, але дружніми державами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– з відкритими кордонами, без віз і митниць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7350B7" w:rsidRPr="00786C47" w:rsidRDefault="007350B7" w:rsidP="007350B7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3.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Україна й Росія мають об'єднатися в одну державу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7350B7" w:rsidRPr="00786C47" w:rsidRDefault="007350B7" w:rsidP="007350B7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Якщо людина вибирає першу або другу відповідь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ми вважаємо, що вона підтримує незалежність України. Як бачимо, рівень підтримки незалежності України після великої підтримки на референдумі 1991 року почав падати,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рівень бідності зростав, наступало розчарування.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Однак після початку війни Росії у Чечні, пі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д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тримка незалежності зросла, а з початку 2000-х років рівень підтримки незалежності поступово зростав з деякими коливаннями.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Різке підвищення рівня підтримки незалежності відбулося після анексії Криму Росією. Зараз 85% населення підтримує незалежність України.</w:t>
      </w:r>
    </w:p>
    <w:p w:rsidR="007350B7" w:rsidRPr="00786C47" w:rsidRDefault="007350B7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306644" cy="3979984"/>
            <wp:effectExtent l="0" t="0" r="889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045" cy="39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350B7" w:rsidRPr="00786C47" w:rsidRDefault="007350B7" w:rsidP="00F91BC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Аналогічні процеси проходили в Криму.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На графіку інший показник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–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кількість кримчан, які вважали, що Україна має об’єднатися з Росією.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До 2000 року ця кількість збільшувалася, кримчани були розчаровані.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Але далі кількість бажаючих об’єднатися з Росією невпинно падала і у 2012-2013 роках с</w:t>
      </w:r>
      <w:r w:rsidR="00805ECD" w:rsidRPr="00786C47">
        <w:rPr>
          <w:rFonts w:ascii="Times New Roman" w:hAnsi="Times New Roman"/>
          <w:iCs/>
          <w:sz w:val="24"/>
          <w:szCs w:val="24"/>
          <w:lang w:eastAsia="ru-RU"/>
        </w:rPr>
        <w:t>тановила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трохи більше 20%.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Це показує, що анексія Криму відбулася не через бажання населення, а в результаті спецоперації.</w:t>
      </w:r>
    </w:p>
    <w:p w:rsidR="007350B7" w:rsidRPr="00786C47" w:rsidRDefault="007350B7" w:rsidP="00E82725">
      <w:pPr>
        <w:spacing w:after="0" w:line="36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</w:p>
    <w:p w:rsidR="007350B7" w:rsidRPr="00786C47" w:rsidRDefault="007350B7" w:rsidP="00E82725">
      <w:pPr>
        <w:spacing w:after="0" w:line="36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</w:p>
    <w:p w:rsidR="007350B7" w:rsidRPr="00786C47" w:rsidRDefault="007350B7" w:rsidP="00E82725">
      <w:pPr>
        <w:spacing w:after="0" w:line="36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</w:p>
    <w:p w:rsidR="00805ECD" w:rsidRPr="00786C47" w:rsidRDefault="00805ECD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86C47"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7350B7" w:rsidRPr="00786C47" w:rsidRDefault="00E21BD8" w:rsidP="00E21BD8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Динаміка позитивного ставлення українців до Росії і росіян до України</w:t>
      </w:r>
    </w:p>
    <w:p w:rsidR="00E21BD8" w:rsidRPr="00786C47" w:rsidRDefault="00E21BD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21BD8" w:rsidRPr="00786C47" w:rsidRDefault="00E21BD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838092" cy="3225410"/>
            <wp:effectExtent l="0" t="0" r="1079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1BD8" w:rsidRPr="00786C47" w:rsidRDefault="00E21BD8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21BD8" w:rsidRPr="00786C47" w:rsidRDefault="00E21BD8" w:rsidP="00E21BD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6C47">
        <w:rPr>
          <w:rFonts w:ascii="Times New Roman" w:hAnsi="Times New Roman"/>
          <w:sz w:val="24"/>
          <w:szCs w:val="24"/>
          <w:lang w:eastAsia="ru-RU"/>
        </w:rPr>
        <w:t>Це результат спільного проекту Київського міжнародного інституту соціології і російської недержавної дослідницької організації «Левада-Центр», ми проводимо дослідження ставлення України до Росії, а вони – ставлення росіян до України.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sz w:val="24"/>
          <w:szCs w:val="24"/>
          <w:lang w:eastAsia="ru-RU"/>
        </w:rPr>
        <w:t>Як бачимо, за всі майже 10 років існування проекту ставлення українців до Росії було кращ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>им</w:t>
      </w:r>
      <w:r w:rsidRPr="00786C47">
        <w:rPr>
          <w:rFonts w:ascii="Times New Roman" w:hAnsi="Times New Roman"/>
          <w:sz w:val="24"/>
          <w:szCs w:val="24"/>
          <w:lang w:eastAsia="ru-RU"/>
        </w:rPr>
        <w:t>, ніж ставлення росіян до України.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sz w:val="24"/>
          <w:szCs w:val="24"/>
          <w:lang w:eastAsia="ru-RU"/>
        </w:rPr>
        <w:t>До анексії Криму 80-90% у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>кр</w:t>
      </w:r>
      <w:r w:rsidRPr="00786C47">
        <w:rPr>
          <w:rFonts w:ascii="Times New Roman" w:hAnsi="Times New Roman"/>
          <w:sz w:val="24"/>
          <w:szCs w:val="24"/>
          <w:lang w:eastAsia="ru-RU"/>
        </w:rPr>
        <w:t>аїн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>ц</w:t>
      </w:r>
      <w:r w:rsidRPr="00786C47">
        <w:rPr>
          <w:rFonts w:ascii="Times New Roman" w:hAnsi="Times New Roman"/>
          <w:sz w:val="24"/>
          <w:szCs w:val="24"/>
          <w:lang w:eastAsia="ru-RU"/>
        </w:rPr>
        <w:t>ів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 xml:space="preserve"> ставил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>и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>ся позитивно до Росії (а в Росії позитивне ставлення падало і до 30%, а в кращі роки коливалося біля 70%.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>Після анексії Криму відбувся обвал гарного ставлення українців до Росії, але ставлення росіян до України погіршилося ще більше.</w:t>
      </w:r>
      <w:r w:rsidR="00786C47" w:rsidRPr="00786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2ABC" w:rsidRPr="00786C47">
        <w:rPr>
          <w:rFonts w:ascii="Times New Roman" w:hAnsi="Times New Roman"/>
          <w:sz w:val="24"/>
          <w:szCs w:val="24"/>
          <w:lang w:eastAsia="ru-RU"/>
        </w:rPr>
        <w:t xml:space="preserve">Зараз позитивно ставляться до Росії приблизно 40% населення України, а позитивно до України – приблизно 30% населення Росії. </w:t>
      </w:r>
    </w:p>
    <w:p w:rsidR="00682ABC" w:rsidRPr="00786C47" w:rsidRDefault="00682ABC" w:rsidP="00E21BD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368799" cy="3276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583" cy="32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682ABC" w:rsidP="00F91BC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На графіку лівий стовпчик показує кількість населення, яка б проголосувала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на референдумі за вступ до ЄС, а правий – проти ЄС.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У 2005 році більшість населення була проти вступу до ЄС, а зараз відсоток прихильників ЄС (майже 50%) суттєво перевищує кількість противників (28%).</w:t>
      </w:r>
    </w:p>
    <w:p w:rsidR="00682ABC" w:rsidRPr="00786C47" w:rsidRDefault="00682ABC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ABC" w:rsidRPr="00786C47" w:rsidRDefault="00435340" w:rsidP="00435340">
      <w:pPr>
        <w:spacing w:after="0" w:line="240" w:lineRule="auto"/>
        <w:ind w:firstLine="709"/>
        <w:rPr>
          <w:rFonts w:ascii="Times New Roman" w:hAnsi="Times New Roman"/>
          <w:iCs/>
          <w:sz w:val="32"/>
          <w:szCs w:val="32"/>
          <w:lang w:eastAsia="ru-RU"/>
        </w:rPr>
      </w:pPr>
      <w:r w:rsidRPr="00786C47">
        <w:rPr>
          <w:rFonts w:ascii="Times New Roman" w:hAnsi="Times New Roman"/>
          <w:b/>
          <w:bCs/>
          <w:iCs/>
          <w:color w:val="2F5496" w:themeColor="accent5" w:themeShade="BF"/>
          <w:sz w:val="32"/>
          <w:szCs w:val="32"/>
          <w:lang w:eastAsia="ru-RU"/>
        </w:rPr>
        <w:t>Ставлення до НАТО, 2005-2017</w:t>
      </w:r>
    </w:p>
    <w:p w:rsidR="00435340" w:rsidRPr="00786C47" w:rsidRDefault="00786C47" w:rsidP="00435340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Уявіть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будь ласка, що зараз в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дбувається референдум з питання, чи вступати Україн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до НАТО. Ви можете проголосувати за вступ до цього союзу, проти вступу або утриматися </w:t>
      </w: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–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не брати участ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у голосуванн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Який Ваш виб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і</w:t>
      </w:r>
      <w:r w:rsidR="00435340"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р?</w:t>
      </w:r>
      <w:r w:rsidR="00435340" w:rsidRPr="00786C4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35340" w:rsidRPr="00786C47" w:rsidRDefault="00435340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435340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0" w:name="_GoBack"/>
      <w:r w:rsidRPr="00786C47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6120130" cy="33655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35340" w:rsidRPr="00786C47" w:rsidRDefault="00435340" w:rsidP="0043534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lastRenderedPageBreak/>
        <w:t>В ставленні до НАТО теж відбулися значні зміни.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У 2005 тільки 16% проголосували б на референдумі за НАТО, а 57% проти.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Зараз співвідношення на користь НАТО 41% до 32%.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Тобто якби референдум щодо вступу України до НАТО проводився у вересні 2017 року і у голосуванні взяли участь усі ті, хто визначився зі своїм вибором, явка становила б близько 72%, а голоси учасників розділилися б таким чином: </w:t>
      </w:r>
      <w:r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>62% </w:t>
      </w:r>
      <w:r w:rsidR="00786C47"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</w:t>
      </w:r>
      <w:r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за вступ України до НАТО, 38% </w:t>
      </w:r>
      <w:r w:rsidR="00786C47"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>–</w:t>
      </w:r>
      <w:r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проти.</w:t>
      </w:r>
      <w:r w:rsidR="00786C47" w:rsidRPr="00786C4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3814AE" w:rsidRPr="00786C47" w:rsidRDefault="004C7221" w:rsidP="00E82725">
      <w:pPr>
        <w:spacing w:after="0" w:line="36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Референдум за вступ до НАТО – регіональний розподіл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b/>
                <w:bCs/>
                <w:kern w:val="24"/>
              </w:rPr>
              <w:t> 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kern w:val="24"/>
              </w:rPr>
              <w:t>Західний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kern w:val="24"/>
              </w:rPr>
              <w:t>Центральний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kern w:val="24"/>
              </w:rPr>
              <w:t>Південний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kern w:val="24"/>
              </w:rPr>
              <w:t>Східний</w:t>
            </w:r>
          </w:p>
        </w:tc>
      </w:tr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color w:val="000000" w:themeColor="dark1"/>
                <w:kern w:val="24"/>
              </w:rPr>
              <w:t>За вступ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color w:val="000000" w:themeColor="dark1"/>
                <w:kern w:val="24"/>
              </w:rPr>
              <w:t>61</w:t>
            </w:r>
            <w:r w:rsidR="00786C47" w:rsidRPr="00786C47">
              <w:rPr>
                <w:b/>
                <w:bCs/>
                <w:color w:val="000000" w:themeColor="dark1"/>
                <w:kern w:val="24"/>
              </w:rPr>
              <w:t>,</w:t>
            </w:r>
            <w:r w:rsidRPr="00F91BC1">
              <w:rPr>
                <w:b/>
                <w:bCs/>
                <w:color w:val="000000" w:themeColor="dark1"/>
                <w:kern w:val="24"/>
              </w:rPr>
              <w:t>7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color w:val="000000" w:themeColor="dark1"/>
                <w:kern w:val="24"/>
              </w:rPr>
              <w:t>50</w:t>
            </w:r>
            <w:r w:rsidR="00786C47" w:rsidRPr="00786C47">
              <w:rPr>
                <w:b/>
                <w:bCs/>
                <w:color w:val="000000" w:themeColor="dark1"/>
                <w:kern w:val="24"/>
              </w:rPr>
              <w:t>,</w:t>
            </w:r>
            <w:r w:rsidRPr="00F91BC1">
              <w:rPr>
                <w:b/>
                <w:bCs/>
                <w:color w:val="000000" w:themeColor="dark1"/>
                <w:kern w:val="24"/>
              </w:rPr>
              <w:t>6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28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8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25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0</w:t>
            </w:r>
          </w:p>
        </w:tc>
      </w:tr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color w:val="000000" w:themeColor="dark1"/>
                <w:kern w:val="24"/>
              </w:rPr>
              <w:t>Проти вступу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22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4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color w:val="000000" w:themeColor="dark1"/>
                <w:kern w:val="24"/>
              </w:rPr>
              <w:t>40</w:t>
            </w:r>
            <w:r w:rsidR="00786C47" w:rsidRPr="00786C47">
              <w:rPr>
                <w:b/>
                <w:bCs/>
                <w:color w:val="000000" w:themeColor="dark1"/>
                <w:kern w:val="24"/>
              </w:rPr>
              <w:t>,</w:t>
            </w:r>
            <w:r w:rsidRPr="00F91BC1">
              <w:rPr>
                <w:b/>
                <w:bCs/>
                <w:color w:val="000000" w:themeColor="dark1"/>
                <w:kern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b/>
                <w:bCs/>
                <w:color w:val="000000" w:themeColor="dark1"/>
                <w:kern w:val="24"/>
              </w:rPr>
              <w:t>49</w:t>
            </w:r>
            <w:r w:rsidR="00786C47" w:rsidRPr="00786C47">
              <w:rPr>
                <w:b/>
                <w:bCs/>
                <w:color w:val="000000" w:themeColor="dark1"/>
                <w:kern w:val="24"/>
              </w:rPr>
              <w:t>,</w:t>
            </w:r>
            <w:r w:rsidRPr="00F91BC1">
              <w:rPr>
                <w:b/>
                <w:bCs/>
                <w:color w:val="000000" w:themeColor="dark1"/>
                <w:kern w:val="24"/>
              </w:rPr>
              <w:t>8</w:t>
            </w:r>
          </w:p>
        </w:tc>
      </w:tr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color w:val="000000" w:themeColor="dark1"/>
                <w:kern w:val="24"/>
              </w:rPr>
              <w:t>Не брати участі у голосуванні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8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8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6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13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4</w:t>
            </w:r>
          </w:p>
        </w:tc>
      </w:tr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color w:val="000000" w:themeColor="dark1"/>
                <w:kern w:val="24"/>
              </w:rPr>
              <w:t>Важко сказати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18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9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16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4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20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4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11</w:t>
            </w:r>
            <w:r w:rsidR="00786C47" w:rsidRPr="00786C47">
              <w:rPr>
                <w:color w:val="000000" w:themeColor="dark1"/>
                <w:kern w:val="24"/>
              </w:rPr>
              <w:t>,</w:t>
            </w:r>
            <w:r w:rsidRPr="00F91BC1">
              <w:rPr>
                <w:color w:val="000000" w:themeColor="dark1"/>
                <w:kern w:val="24"/>
              </w:rPr>
              <w:t>9</w:t>
            </w:r>
          </w:p>
        </w:tc>
      </w:tr>
      <w:tr w:rsidR="004C7221" w:rsidRPr="00786C47" w:rsidTr="00006880"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</w:pPr>
            <w:r w:rsidRPr="00F91BC1">
              <w:rPr>
                <w:color w:val="000000" w:themeColor="dark1"/>
                <w:kern w:val="24"/>
              </w:rPr>
              <w:t>РАЗОМ</w:t>
            </w:r>
          </w:p>
        </w:tc>
        <w:tc>
          <w:tcPr>
            <w:tcW w:w="1925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100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100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100</w:t>
            </w:r>
          </w:p>
        </w:tc>
        <w:tc>
          <w:tcPr>
            <w:tcW w:w="1926" w:type="dxa"/>
            <w:vAlign w:val="center"/>
          </w:tcPr>
          <w:p w:rsidR="004C7221" w:rsidRPr="00F91BC1" w:rsidRDefault="004C7221" w:rsidP="004C7221">
            <w:pPr>
              <w:pStyle w:val="a4"/>
              <w:spacing w:before="0" w:beforeAutospacing="0" w:after="0" w:afterAutospacing="0"/>
              <w:jc w:val="center"/>
            </w:pPr>
            <w:r w:rsidRPr="00F91BC1">
              <w:rPr>
                <w:color w:val="000000" w:themeColor="dark1"/>
                <w:kern w:val="24"/>
              </w:rPr>
              <w:t>100</w:t>
            </w:r>
          </w:p>
        </w:tc>
      </w:tr>
    </w:tbl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4C7221" w:rsidP="00E82725">
      <w:pPr>
        <w:spacing w:after="0" w:line="36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Але регіональний розподіл показує, що Південь і Схід України проти вступу до НАТО</w:t>
      </w:r>
    </w:p>
    <w:p w:rsidR="00786C47" w:rsidRPr="00786C47" w:rsidRDefault="00786C47">
      <w:pP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Довіра до соціальних інституцій, грудень 2017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4760"/>
        <w:gridCol w:w="1300"/>
        <w:gridCol w:w="1400"/>
        <w:gridCol w:w="1319"/>
      </w:tblGrid>
      <w:tr w:rsidR="003814AE" w:rsidRPr="00786C47" w:rsidTr="004C7221">
        <w:trPr>
          <w:trHeight w:val="108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Соціальні інституції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Довіряю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довіряю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 довіра - недовіра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Звичайним людям у Вашому населеному пункті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Волонтерам, які допомагають переселенцям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Збройним силам України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Волонтерам, які допомагають армії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Церкві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Громадським організаціям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Малому та середньому бізнесу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Переселенцям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Новинам в Інтернеті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Патрульній поліції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Українським ЗМІ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Національній поліції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-6,4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Опозиції</w:t>
            </w:r>
            <w:r w:rsidR="00786C47" w:rsidRPr="0078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-34,4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-38,1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Українським банкам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-46,4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Президенту України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-47,5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Великому бізнесу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-52,3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Уряду України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-57,9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-65,1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Російським ЗМІ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-70,8</w:t>
            </w:r>
          </w:p>
        </w:tc>
      </w:tr>
      <w:tr w:rsidR="003814AE" w:rsidRPr="00786C47" w:rsidTr="004C7221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Верховній Раді України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AE" w:rsidRPr="00F91BC1" w:rsidRDefault="003814AE" w:rsidP="003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-71,6</w:t>
            </w:r>
          </w:p>
        </w:tc>
      </w:tr>
    </w:tbl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C7221" w:rsidRPr="00786C47" w:rsidRDefault="004C7221" w:rsidP="004C722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Соціальні інституції упорядковані за балансом «довіра-недовіра» у останньому стовпчику таблиці (відсоток тих, хто довіряє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мінус відсоток тих, хто не довіряє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Українці найбільше довіряють своєму оточенню, звичайним людям, потім волонтерам, армії і церкві, далі громадським організаціям і малому та середньому бізнесу та переселенцям.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Інтернету, поліції і українським ЗМІ скільки довіряє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стільки ж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і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не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довіряє, баланс близький до 0. Всім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іншим українці не довіряють, рівень довіри не більше 14%, а рівень недовіри не менше 50%. Особливо низький рівень довіри до Верховної Ради України, довіряють 7%, не довіряють 79%, баланс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>72%.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Далі ра рівнем недовіри йдуть російські ЗМІ, український суд (баланс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>65%), уряд (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>58%), великий бізнес (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>52%), президент (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="00965755" w:rsidRPr="00786C47">
        <w:rPr>
          <w:rFonts w:ascii="Times New Roman" w:hAnsi="Times New Roman"/>
          <w:iCs/>
          <w:sz w:val="24"/>
          <w:szCs w:val="24"/>
          <w:lang w:eastAsia="ru-RU"/>
        </w:rPr>
        <w:t>48%).</w:t>
      </w:r>
    </w:p>
    <w:p w:rsidR="00965755" w:rsidRPr="00786C47" w:rsidRDefault="00965755" w:rsidP="004C722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На цьому фоні рівень довіри до соціологів (47% довіряє, 11% не довіряє, інші не знають) виглядає непоганим, баланс +36% означає, що соціологи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за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рівн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ем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довіри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по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>ступають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ся</w:t>
      </w:r>
      <w:r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волонтерам, армії, церкві, але мають вищий рівень довіри, ніж ЗМІ і політики.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446AF" w:rsidRPr="00786C47">
        <w:rPr>
          <w:rFonts w:ascii="Times New Roman" w:hAnsi="Times New Roman"/>
          <w:iCs/>
          <w:sz w:val="24"/>
          <w:szCs w:val="24"/>
          <w:lang w:eastAsia="ru-RU"/>
        </w:rPr>
        <w:t>Повної впевненості у цьому, однак, нема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є</w:t>
      </w:r>
      <w:r w:rsidR="003446AF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, бо запитання про соціологів </w:t>
      </w:r>
      <w:r w:rsidR="00786C47" w:rsidRPr="00786C47">
        <w:rPr>
          <w:rFonts w:ascii="Times New Roman" w:hAnsi="Times New Roman"/>
          <w:iCs/>
          <w:sz w:val="24"/>
          <w:szCs w:val="24"/>
          <w:lang w:eastAsia="ru-RU"/>
        </w:rPr>
        <w:t>ставилося</w:t>
      </w:r>
      <w:r w:rsidR="003446AF" w:rsidRPr="00786C47">
        <w:rPr>
          <w:rFonts w:ascii="Times New Roman" w:hAnsi="Times New Roman"/>
          <w:iCs/>
          <w:sz w:val="24"/>
          <w:szCs w:val="24"/>
          <w:lang w:eastAsia="ru-RU"/>
        </w:rPr>
        <w:t xml:space="preserve"> трохи інакше, ніж про інші інституції </w:t>
      </w:r>
      <w:r w:rsidR="003446AF" w:rsidRPr="00786C47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3446AF" w:rsidRPr="00F91BC1">
        <w:rPr>
          <w:rStyle w:val="a3"/>
          <w:rFonts w:ascii="Times New Roman" w:hAnsi="Times New Roman" w:cs="Times New Roman"/>
          <w:color w:val="585C51"/>
          <w:sz w:val="24"/>
          <w:szCs w:val="24"/>
          <w:shd w:val="clear" w:color="auto" w:fill="FFFFFF"/>
        </w:rPr>
        <w:t>Чи довіряєте Ви результатам соціологічних опитувань організацій, які вже давно працюють та публікують результати своїх досліджень?)</w:t>
      </w:r>
    </w:p>
    <w:p w:rsidR="00965755" w:rsidRPr="00786C47" w:rsidRDefault="00965755" w:rsidP="004C722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</w:p>
    <w:p w:rsidR="003814AE" w:rsidRPr="00786C47" w:rsidRDefault="003814AE" w:rsidP="004C7221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446AF" w:rsidRPr="00786C47" w:rsidRDefault="003446AF" w:rsidP="00E82725">
      <w:pPr>
        <w:spacing w:after="0" w:line="360" w:lineRule="auto"/>
        <w:ind w:firstLine="708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786C47">
        <w:rPr>
          <w:rFonts w:ascii="Times New Roman" w:hAnsi="Times New Roman"/>
          <w:b/>
          <w:iCs/>
          <w:sz w:val="32"/>
          <w:szCs w:val="32"/>
          <w:lang w:eastAsia="ru-RU"/>
        </w:rPr>
        <w:t>Резюме</w:t>
      </w:r>
    </w:p>
    <w:p w:rsidR="003446AF" w:rsidRPr="00786C47" w:rsidRDefault="003446AF" w:rsidP="00E82725">
      <w:pPr>
        <w:spacing w:after="0"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14AE" w:rsidRPr="00786C47" w:rsidRDefault="003814AE" w:rsidP="003446AF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1) Потрібні регулярні опитування з однаковими показниками, довгі динамічні ряди</w:t>
      </w:r>
    </w:p>
    <w:p w:rsidR="003814AE" w:rsidRPr="00786C47" w:rsidRDefault="003814AE" w:rsidP="003446AF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2) За останні 4 роки:</w:t>
      </w:r>
    </w:p>
    <w:p w:rsidR="00E109E9" w:rsidRPr="00786C47" w:rsidRDefault="003446AF" w:rsidP="003446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рівень бідності спочатку зріс вдвічі, потім знизився і зараз дорівнює 12% (у 2000 було 52%), </w:t>
      </w:r>
    </w:p>
    <w:p w:rsidR="00E109E9" w:rsidRPr="00786C47" w:rsidRDefault="003446AF" w:rsidP="003446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рівень здоров'я майже не змінився,</w:t>
      </w:r>
      <w:r w:rsidR="00786C47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рівень куріння знизився</w:t>
      </w:r>
    </w:p>
    <w:p w:rsidR="00E109E9" w:rsidRPr="00786C47" w:rsidRDefault="003446AF" w:rsidP="003446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рівень щастя дещо знизився (але лише за рахунок Донбасу, в решті частини України не змінився).</w:t>
      </w:r>
      <w:r w:rsidR="00786C47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E109E9" w:rsidRPr="00786C47" w:rsidRDefault="003446AF" w:rsidP="003446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відсоток Інтернет-користувачів, незважаючи на війну</w:t>
      </w:r>
      <w:r w:rsidR="00786C47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зріс з</w:t>
      </w:r>
      <w:r w:rsidR="00786C47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54% до 62%.</w:t>
      </w:r>
    </w:p>
    <w:p w:rsidR="003446AF" w:rsidRPr="00786C47" w:rsidRDefault="003814AE" w:rsidP="003446AF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цілому ситуація стабілізувалася і не виглядає катастрофічною.</w:t>
      </w:r>
    </w:p>
    <w:p w:rsidR="003814AE" w:rsidRPr="00786C47" w:rsidRDefault="003814AE" w:rsidP="003446AF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Тим часом більшість </w:t>
      </w:r>
      <w:r w:rsidR="003446AF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населення </w:t>
      </w:r>
      <w:r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вважає, що країна йде в неправильному напрямку (понад 70% проти 12%), корупція зросла, реформи не йдуть.</w:t>
      </w:r>
      <w:r w:rsidR="00786C47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446AF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Гадаємо, що таку </w:t>
      </w:r>
      <w:r w:rsidR="00F91BC1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>різницю</w:t>
      </w:r>
      <w:r w:rsidR="003446AF" w:rsidRPr="00786C4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між даними досліджень і сприйняттям ситуації можна пояснити тим, що рівень критичності ЗМІ суттєво зріс, це зворотна сторона свободи засобів масової інформації.</w:t>
      </w:r>
    </w:p>
    <w:p w:rsidR="003814AE" w:rsidRPr="00786C47" w:rsidRDefault="003446AF" w:rsidP="003446AF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786C47">
        <w:rPr>
          <w:rFonts w:ascii="Times New Roman" w:hAnsi="Times New Roman"/>
          <w:iCs/>
          <w:sz w:val="24"/>
          <w:szCs w:val="24"/>
          <w:lang w:eastAsia="ru-RU"/>
        </w:rPr>
        <w:t>Дані наших досліджень показують, що ситуація в Україні є дещо кращою, ніж вважає більшість населення.</w:t>
      </w:r>
    </w:p>
    <w:sectPr w:rsidR="003814AE" w:rsidRPr="00786C47" w:rsidSect="006605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13" w:rsidRDefault="000A6D13" w:rsidP="00F91BC1">
      <w:pPr>
        <w:spacing w:after="0" w:line="240" w:lineRule="auto"/>
      </w:pPr>
      <w:r>
        <w:separator/>
      </w:r>
    </w:p>
  </w:endnote>
  <w:endnote w:type="continuationSeparator" w:id="0">
    <w:p w:rsidR="000A6D13" w:rsidRDefault="000A6D13" w:rsidP="00F9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F91B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3387"/>
      <w:docPartObj>
        <w:docPartGallery w:val="Page Numbers (Bottom of Page)"/>
        <w:docPartUnique/>
      </w:docPartObj>
    </w:sdtPr>
    <w:sdtEndPr/>
    <w:sdtContent>
      <w:p w:rsidR="00F91BC1" w:rsidRDefault="00F91B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9C" w:rsidRPr="0090369C">
          <w:rPr>
            <w:noProof/>
            <w:lang w:val="ru-RU"/>
          </w:rPr>
          <w:t>12</w:t>
        </w:r>
        <w:r>
          <w:fldChar w:fldCharType="end"/>
        </w:r>
      </w:p>
    </w:sdtContent>
  </w:sdt>
  <w:p w:rsidR="00F91BC1" w:rsidRDefault="00F91B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F91B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13" w:rsidRDefault="000A6D13" w:rsidP="00F91BC1">
      <w:pPr>
        <w:spacing w:after="0" w:line="240" w:lineRule="auto"/>
      </w:pPr>
      <w:r>
        <w:separator/>
      </w:r>
    </w:p>
  </w:footnote>
  <w:footnote w:type="continuationSeparator" w:id="0">
    <w:p w:rsidR="000A6D13" w:rsidRDefault="000A6D13" w:rsidP="00F9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F91B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F91BC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F91B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CE5"/>
    <w:multiLevelType w:val="hybridMultilevel"/>
    <w:tmpl w:val="8428665C"/>
    <w:lvl w:ilvl="0" w:tplc="4C00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6C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E8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8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AE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07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C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C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A4CE7"/>
    <w:multiLevelType w:val="hybridMultilevel"/>
    <w:tmpl w:val="F44A839A"/>
    <w:lvl w:ilvl="0" w:tplc="2F148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2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CD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0E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4C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04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6F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E4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AF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A"/>
    <w:rsid w:val="000A6D13"/>
    <w:rsid w:val="000E21C1"/>
    <w:rsid w:val="0020090A"/>
    <w:rsid w:val="0020390C"/>
    <w:rsid w:val="00227EBB"/>
    <w:rsid w:val="002D6670"/>
    <w:rsid w:val="003446AF"/>
    <w:rsid w:val="003814AE"/>
    <w:rsid w:val="00435340"/>
    <w:rsid w:val="004A22C0"/>
    <w:rsid w:val="004C7221"/>
    <w:rsid w:val="00534131"/>
    <w:rsid w:val="005B7447"/>
    <w:rsid w:val="00660508"/>
    <w:rsid w:val="00682ABC"/>
    <w:rsid w:val="007350B7"/>
    <w:rsid w:val="00786C47"/>
    <w:rsid w:val="00805ECD"/>
    <w:rsid w:val="00824DF5"/>
    <w:rsid w:val="008943BA"/>
    <w:rsid w:val="008A1C61"/>
    <w:rsid w:val="0090369C"/>
    <w:rsid w:val="00965755"/>
    <w:rsid w:val="009E7597"/>
    <w:rsid w:val="00A11715"/>
    <w:rsid w:val="00CA03C2"/>
    <w:rsid w:val="00E109E9"/>
    <w:rsid w:val="00E21BD8"/>
    <w:rsid w:val="00E82725"/>
    <w:rsid w:val="00E82994"/>
    <w:rsid w:val="00F4706F"/>
    <w:rsid w:val="00F8136D"/>
    <w:rsid w:val="00F91BC1"/>
    <w:rsid w:val="00FA0243"/>
    <w:rsid w:val="00FC522A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FDED-C804-499D-9EE7-A6523B3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90C"/>
    <w:rPr>
      <w:b/>
      <w:bCs/>
    </w:rPr>
  </w:style>
  <w:style w:type="paragraph" w:styleId="a4">
    <w:name w:val="Normal (Web)"/>
    <w:basedOn w:val="a"/>
    <w:uiPriority w:val="99"/>
    <w:semiHidden/>
    <w:unhideWhenUsed/>
    <w:rsid w:val="00CA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1BD8"/>
    <w:rPr>
      <w:i/>
      <w:iCs/>
    </w:rPr>
  </w:style>
  <w:style w:type="table" w:styleId="a6">
    <w:name w:val="Table Grid"/>
    <w:basedOn w:val="a1"/>
    <w:uiPriority w:val="39"/>
    <w:rsid w:val="004C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E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B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BC1"/>
  </w:style>
  <w:style w:type="paragraph" w:styleId="ab">
    <w:name w:val="footer"/>
    <w:basedOn w:val="a"/>
    <w:link w:val="ac"/>
    <w:uiPriority w:val="99"/>
    <w:unhideWhenUsed/>
    <w:rsid w:val="00F91B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kh\AppData\Local\Temp\25_nkh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2;&#1086;&#1080;%20&#1076;&#1086;&#1082;&#1091;&#1084;&#1077;&#1085;&#1090;&#1099;\Pres-releases\2017\Omn_dec17\&#1075;&#1088;&#1072;&#1092;&#1080;&#1082;&#1080;_&#1091;&#1082;&#1088;-&#1088;&#1091;&#1089;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\Public\OMNIBUS\&#1053;&#1040;&#1058;&#1054;,%20&#1045;&#1057;,%20&#1056;&#1054;&#1089;&#1089;&#1080;&#1103;\NATO_referendum_2017-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682868769907452"/>
          <c:y val="0.94611341363986279"/>
        </c:manualLayout>
      </c:layout>
      <c:overlay val="0"/>
      <c:txPr>
        <a:bodyPr/>
        <a:lstStyle/>
        <a:p>
          <a:pPr>
            <a:defRPr i="1"/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6.6999211269879233E-2"/>
          <c:y val="4.7639109914973492E-2"/>
          <c:w val="0.91416752843846949"/>
          <c:h val="0.7980194174265739"/>
        </c:manualLayout>
      </c:layout>
      <c:lineChart>
        <c:grouping val="standard"/>
        <c:varyColors val="0"/>
        <c:ser>
          <c:idx val="0"/>
          <c:order val="0"/>
          <c:tx>
            <c:strRef>
              <c:f>Бідність!$B$4</c:f>
              <c:strCache>
                <c:ptCount val="1"/>
                <c:pt idx="0">
                  <c:v>Нам не вистачає грошей навiть на їжу</c:v>
                </c:pt>
              </c:strCache>
            </c:strRef>
          </c:tx>
          <c:spPr>
            <a:ln w="38100">
              <a:solidFill>
                <a:srgbClr val="0066CC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70C0"/>
              </a:solidFill>
              <a:ln>
                <a:solidFill>
                  <a:srgbClr val="0066CC"/>
                </a:solidFill>
                <a:prstDash val="solid"/>
              </a:ln>
            </c:spPr>
          </c:marker>
          <c:dPt>
            <c:idx val="21"/>
            <c:marker>
              <c:spPr>
                <a:solidFill>
                  <a:srgbClr val="C00000"/>
                </a:solidFill>
                <a:ln>
                  <a:solidFill>
                    <a:srgbClr val="C00000"/>
                  </a:solidFill>
                  <a:prstDash val="solid"/>
                </a:ln>
              </c:spPr>
            </c:marker>
            <c:bubble3D val="0"/>
            <c:spPr>
              <a:ln w="38100">
                <a:solidFill>
                  <a:srgbClr val="C00000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Бідність!$C$3:$AA$3</c:f>
              <c:strCach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Лютий 2014</c:v>
                </c:pt>
                <c:pt idx="21">
                  <c:v>Грудень 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strCache>
            </c:strRef>
          </c:cat>
          <c:val>
            <c:numRef>
              <c:f>Бідність!$C$4:$AA$4</c:f>
              <c:numCache>
                <c:formatCode>0</c:formatCode>
                <c:ptCount val="25"/>
                <c:pt idx="0">
                  <c:v>28.4</c:v>
                </c:pt>
                <c:pt idx="1">
                  <c:v>37.4</c:v>
                </c:pt>
                <c:pt idx="2">
                  <c:v>36.200000000000003</c:v>
                </c:pt>
                <c:pt idx="3">
                  <c:v>47.6</c:v>
                </c:pt>
                <c:pt idx="4">
                  <c:v>51.7</c:v>
                </c:pt>
                <c:pt idx="5">
                  <c:v>44.5</c:v>
                </c:pt>
                <c:pt idx="6">
                  <c:v>47.2</c:v>
                </c:pt>
                <c:pt idx="7">
                  <c:v>35.4</c:v>
                </c:pt>
                <c:pt idx="8">
                  <c:v>35.300000000000004</c:v>
                </c:pt>
                <c:pt idx="9">
                  <c:v>26.2</c:v>
                </c:pt>
                <c:pt idx="10">
                  <c:v>19.8</c:v>
                </c:pt>
                <c:pt idx="11">
                  <c:v>15.26005888125613</c:v>
                </c:pt>
                <c:pt idx="12">
                  <c:v>15.129787336366533</c:v>
                </c:pt>
                <c:pt idx="13">
                  <c:v>14.165428429915799</c:v>
                </c:pt>
                <c:pt idx="14">
                  <c:v>11.361410381978452</c:v>
                </c:pt>
                <c:pt idx="15">
                  <c:v>20.8206686930091</c:v>
                </c:pt>
                <c:pt idx="16">
                  <c:v>15.343291180640895</c:v>
                </c:pt>
                <c:pt idx="17">
                  <c:v>16.805765072560536</c:v>
                </c:pt>
                <c:pt idx="18">
                  <c:v>12.392181756776353</c:v>
                </c:pt>
                <c:pt idx="19">
                  <c:v>9.4179430444950984</c:v>
                </c:pt>
                <c:pt idx="20">
                  <c:v>8.7469287469287433</c:v>
                </c:pt>
                <c:pt idx="21">
                  <c:v>14</c:v>
                </c:pt>
                <c:pt idx="22">
                  <c:v>16.7</c:v>
                </c:pt>
                <c:pt idx="23">
                  <c:v>17.100000000000001</c:v>
                </c:pt>
                <c:pt idx="24">
                  <c:v>11.5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>
              <a:solidFill>
                <a:schemeClr val="bg1">
                  <a:lumMod val="75000"/>
                </a:schemeClr>
              </a:solidFill>
            </a:ln>
          </c:spPr>
        </c:dropLines>
        <c:marker val="1"/>
        <c:smooth val="0"/>
        <c:axId val="426353120"/>
        <c:axId val="426352728"/>
      </c:lineChart>
      <c:catAx>
        <c:axId val="42635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426352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63527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42635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05704283507576E-2"/>
          <c:y val="1.8075180548902253E-2"/>
          <c:w val="0.95893065321430471"/>
          <c:h val="0.89036232063988652"/>
        </c:manualLayout>
      </c:layout>
      <c:lineChart>
        <c:grouping val="standard"/>
        <c:varyColors val="0"/>
        <c:ser>
          <c:idx val="0"/>
          <c:order val="0"/>
          <c:tx>
            <c:strRef>
              <c:f>данные!$O$5</c:f>
              <c:strCache>
                <c:ptCount val="1"/>
                <c:pt idx="0">
                  <c:v>В Україні до Росії</c:v>
                </c:pt>
              </c:strCache>
            </c:strRef>
          </c:tx>
          <c:spPr>
            <a:ln w="38100"/>
          </c:spPr>
          <c:cat>
            <c:strRef>
              <c:f>данные!$N$6:$N$34</c:f>
              <c:strCache>
                <c:ptCount val="29"/>
                <c:pt idx="0">
                  <c:v>Кві.08</c:v>
                </c:pt>
                <c:pt idx="1">
                  <c:v>Вер.08</c:v>
                </c:pt>
                <c:pt idx="2">
                  <c:v>Лют.09</c:v>
                </c:pt>
                <c:pt idx="3">
                  <c:v>Тра.09</c:v>
                </c:pt>
                <c:pt idx="4">
                  <c:v>Жов.09</c:v>
                </c:pt>
                <c:pt idx="5">
                  <c:v>Бер.10</c:v>
                </c:pt>
                <c:pt idx="6">
                  <c:v>Чер.10</c:v>
                </c:pt>
                <c:pt idx="7">
                  <c:v>Жов.10</c:v>
                </c:pt>
                <c:pt idx="8">
                  <c:v>Лис.11</c:v>
                </c:pt>
                <c:pt idx="9">
                  <c:v>Лют.12</c:v>
                </c:pt>
                <c:pt idx="10">
                  <c:v>Вер.12</c:v>
                </c:pt>
                <c:pt idx="11">
                  <c:v>Лют.13</c:v>
                </c:pt>
                <c:pt idx="12">
                  <c:v>Тра.13</c:v>
                </c:pt>
                <c:pt idx="13">
                  <c:v>Лис.13</c:v>
                </c:pt>
                <c:pt idx="14">
                  <c:v>Лют.14</c:v>
                </c:pt>
                <c:pt idx="15">
                  <c:v>Трав.14</c:v>
                </c:pt>
                <c:pt idx="16">
                  <c:v>Вер.14</c:v>
                </c:pt>
                <c:pt idx="17">
                  <c:v>Груд.14</c:v>
                </c:pt>
                <c:pt idx="18">
                  <c:v>Лют.15</c:v>
                </c:pt>
                <c:pt idx="19">
                  <c:v>трав.15</c:v>
                </c:pt>
                <c:pt idx="20">
                  <c:v>верес.15</c:v>
                </c:pt>
                <c:pt idx="21">
                  <c:v>лют.16</c:v>
                </c:pt>
                <c:pt idx="22">
                  <c:v>Тра.16</c:v>
                </c:pt>
                <c:pt idx="23">
                  <c:v>Вер.16</c:v>
                </c:pt>
                <c:pt idx="24">
                  <c:v>Гру.16</c:v>
                </c:pt>
                <c:pt idx="25">
                  <c:v>січ-лют.17</c:v>
                </c:pt>
                <c:pt idx="26">
                  <c:v>Тра.17</c:v>
                </c:pt>
                <c:pt idx="27">
                  <c:v>вер.17</c:v>
                </c:pt>
                <c:pt idx="28">
                  <c:v>Гру.17</c:v>
                </c:pt>
              </c:strCache>
            </c:strRef>
          </c:cat>
          <c:val>
            <c:numRef>
              <c:f>данные!$O$6:$O$34</c:f>
              <c:numCache>
                <c:formatCode>General</c:formatCode>
                <c:ptCount val="29"/>
                <c:pt idx="0">
                  <c:v>88</c:v>
                </c:pt>
                <c:pt idx="1">
                  <c:v>88</c:v>
                </c:pt>
                <c:pt idx="2">
                  <c:v>91</c:v>
                </c:pt>
                <c:pt idx="3">
                  <c:v>93</c:v>
                </c:pt>
                <c:pt idx="4">
                  <c:v>92</c:v>
                </c:pt>
                <c:pt idx="5">
                  <c:v>90</c:v>
                </c:pt>
                <c:pt idx="6">
                  <c:v>92</c:v>
                </c:pt>
                <c:pt idx="7">
                  <c:v>93</c:v>
                </c:pt>
                <c:pt idx="8">
                  <c:v>80</c:v>
                </c:pt>
                <c:pt idx="9">
                  <c:v>85</c:v>
                </c:pt>
                <c:pt idx="10">
                  <c:v>83</c:v>
                </c:pt>
                <c:pt idx="11">
                  <c:v>85</c:v>
                </c:pt>
                <c:pt idx="12">
                  <c:v>81</c:v>
                </c:pt>
                <c:pt idx="13">
                  <c:v>82</c:v>
                </c:pt>
                <c:pt idx="14">
                  <c:v>78</c:v>
                </c:pt>
                <c:pt idx="15" formatCode="0">
                  <c:v>52.3</c:v>
                </c:pt>
                <c:pt idx="16">
                  <c:v>48</c:v>
                </c:pt>
                <c:pt idx="17">
                  <c:v>37</c:v>
                </c:pt>
                <c:pt idx="18">
                  <c:v>34</c:v>
                </c:pt>
                <c:pt idx="19">
                  <c:v>30</c:v>
                </c:pt>
                <c:pt idx="20">
                  <c:v>34</c:v>
                </c:pt>
                <c:pt idx="21">
                  <c:v>36</c:v>
                </c:pt>
                <c:pt idx="22">
                  <c:v>42</c:v>
                </c:pt>
                <c:pt idx="23">
                  <c:v>40</c:v>
                </c:pt>
                <c:pt idx="24">
                  <c:v>40</c:v>
                </c:pt>
                <c:pt idx="25">
                  <c:v>39</c:v>
                </c:pt>
                <c:pt idx="26">
                  <c:v>44</c:v>
                </c:pt>
                <c:pt idx="27">
                  <c:v>37</c:v>
                </c:pt>
                <c:pt idx="28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данные!$P$5</c:f>
              <c:strCache>
                <c:ptCount val="1"/>
                <c:pt idx="0">
                  <c:v>В Росії до України</c:v>
                </c:pt>
              </c:strCache>
            </c:strRef>
          </c:tx>
          <c:spPr>
            <a:ln w="38100">
              <a:prstDash val="lgDash"/>
            </a:ln>
          </c:spPr>
          <c:cat>
            <c:strRef>
              <c:f>данные!$N$6:$N$34</c:f>
              <c:strCache>
                <c:ptCount val="29"/>
                <c:pt idx="0">
                  <c:v>Кві.08</c:v>
                </c:pt>
                <c:pt idx="1">
                  <c:v>Вер.08</c:v>
                </c:pt>
                <c:pt idx="2">
                  <c:v>Лют.09</c:v>
                </c:pt>
                <c:pt idx="3">
                  <c:v>Тра.09</c:v>
                </c:pt>
                <c:pt idx="4">
                  <c:v>Жов.09</c:v>
                </c:pt>
                <c:pt idx="5">
                  <c:v>Бер.10</c:v>
                </c:pt>
                <c:pt idx="6">
                  <c:v>Чер.10</c:v>
                </c:pt>
                <c:pt idx="7">
                  <c:v>Жов.10</c:v>
                </c:pt>
                <c:pt idx="8">
                  <c:v>Лис.11</c:v>
                </c:pt>
                <c:pt idx="9">
                  <c:v>Лют.12</c:v>
                </c:pt>
                <c:pt idx="10">
                  <c:v>Вер.12</c:v>
                </c:pt>
                <c:pt idx="11">
                  <c:v>Лют.13</c:v>
                </c:pt>
                <c:pt idx="12">
                  <c:v>Тра.13</c:v>
                </c:pt>
                <c:pt idx="13">
                  <c:v>Лис.13</c:v>
                </c:pt>
                <c:pt idx="14">
                  <c:v>Лют.14</c:v>
                </c:pt>
                <c:pt idx="15">
                  <c:v>Трав.14</c:v>
                </c:pt>
                <c:pt idx="16">
                  <c:v>Вер.14</c:v>
                </c:pt>
                <c:pt idx="17">
                  <c:v>Груд.14</c:v>
                </c:pt>
                <c:pt idx="18">
                  <c:v>Лют.15</c:v>
                </c:pt>
                <c:pt idx="19">
                  <c:v>трав.15</c:v>
                </c:pt>
                <c:pt idx="20">
                  <c:v>верес.15</c:v>
                </c:pt>
                <c:pt idx="21">
                  <c:v>лют.16</c:v>
                </c:pt>
                <c:pt idx="22">
                  <c:v>Тра.16</c:v>
                </c:pt>
                <c:pt idx="23">
                  <c:v>Вер.16</c:v>
                </c:pt>
                <c:pt idx="24">
                  <c:v>Гру.16</c:v>
                </c:pt>
                <c:pt idx="25">
                  <c:v>січ-лют.17</c:v>
                </c:pt>
                <c:pt idx="26">
                  <c:v>Тра.17</c:v>
                </c:pt>
                <c:pt idx="27">
                  <c:v>вер.17</c:v>
                </c:pt>
                <c:pt idx="28">
                  <c:v>Гру.17</c:v>
                </c:pt>
              </c:strCache>
            </c:strRef>
          </c:cat>
          <c:val>
            <c:numRef>
              <c:f>данные!$P$6:$P$34</c:f>
              <c:numCache>
                <c:formatCode>General</c:formatCode>
                <c:ptCount val="29"/>
                <c:pt idx="0">
                  <c:v>55</c:v>
                </c:pt>
                <c:pt idx="1">
                  <c:v>38</c:v>
                </c:pt>
                <c:pt idx="2">
                  <c:v>29</c:v>
                </c:pt>
                <c:pt idx="3">
                  <c:v>33</c:v>
                </c:pt>
                <c:pt idx="4">
                  <c:v>46</c:v>
                </c:pt>
                <c:pt idx="5">
                  <c:v>59</c:v>
                </c:pt>
                <c:pt idx="6">
                  <c:v>70</c:v>
                </c:pt>
                <c:pt idx="7">
                  <c:v>67</c:v>
                </c:pt>
                <c:pt idx="8">
                  <c:v>68</c:v>
                </c:pt>
                <c:pt idx="9">
                  <c:v>64</c:v>
                </c:pt>
                <c:pt idx="10">
                  <c:v>74</c:v>
                </c:pt>
                <c:pt idx="11">
                  <c:v>69</c:v>
                </c:pt>
                <c:pt idx="12">
                  <c:v>72</c:v>
                </c:pt>
                <c:pt idx="13">
                  <c:v>69</c:v>
                </c:pt>
                <c:pt idx="14">
                  <c:v>66</c:v>
                </c:pt>
                <c:pt idx="15" formatCode="0">
                  <c:v>34.700000000000003</c:v>
                </c:pt>
                <c:pt idx="16">
                  <c:v>32</c:v>
                </c:pt>
                <c:pt idx="17">
                  <c:v>24</c:v>
                </c:pt>
                <c:pt idx="18">
                  <c:v>24</c:v>
                </c:pt>
                <c:pt idx="19">
                  <c:v>26</c:v>
                </c:pt>
                <c:pt idx="20">
                  <c:v>33</c:v>
                </c:pt>
                <c:pt idx="21">
                  <c:v>27</c:v>
                </c:pt>
                <c:pt idx="22">
                  <c:v>39</c:v>
                </c:pt>
                <c:pt idx="23">
                  <c:v>26</c:v>
                </c:pt>
                <c:pt idx="24">
                  <c:v>34</c:v>
                </c:pt>
                <c:pt idx="25">
                  <c:v>34</c:v>
                </c:pt>
                <c:pt idx="26">
                  <c:v>26</c:v>
                </c:pt>
                <c:pt idx="27">
                  <c:v>32</c:v>
                </c:pt>
                <c:pt idx="28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351552"/>
        <c:axId val="426351160"/>
      </c:lineChart>
      <c:catAx>
        <c:axId val="42635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uk-UA"/>
          </a:p>
        </c:txPr>
        <c:crossAx val="426351160"/>
        <c:crosses val="autoZero"/>
        <c:auto val="1"/>
        <c:lblAlgn val="ctr"/>
        <c:lblOffset val="100"/>
        <c:noMultiLvlLbl val="0"/>
      </c:catAx>
      <c:valAx>
        <c:axId val="426351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3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521172969575959"/>
          <c:y val="1.5795868772782502E-2"/>
          <c:w val="0.45950750434364718"/>
          <c:h val="0.17177785447695706"/>
        </c:manualLayout>
      </c:layout>
      <c:overlay val="0"/>
      <c:txPr>
        <a:bodyPr/>
        <a:lstStyle/>
        <a:p>
          <a:pPr>
            <a:defRPr sz="1200" b="1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'[NATO_referendum_2017-02.xlsx]Dynamika'!$A$18</c:f>
              <c:strCache>
                <c:ptCount val="1"/>
                <c:pt idx="0">
                  <c:v>За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'[NATO_referendum_2017-02.xlsx]Dynamika'!$B$17:$F$17</c:f>
              <c:strCache>
                <c:ptCount val="5"/>
                <c:pt idx="0">
                  <c:v>2005р</c:v>
                </c:pt>
                <c:pt idx="1">
                  <c:v>2014р</c:v>
                </c:pt>
                <c:pt idx="2">
                  <c:v>2015р</c:v>
                </c:pt>
                <c:pt idx="3">
                  <c:v>2016р</c:v>
                </c:pt>
                <c:pt idx="4">
                  <c:v>2017р</c:v>
                </c:pt>
              </c:strCache>
            </c:strRef>
          </c:cat>
          <c:val>
            <c:numRef>
              <c:f>'[NATO_referendum_2017-02.xlsx]Dynamika'!$B$18:$F$18</c:f>
              <c:numCache>
                <c:formatCode>0%</c:formatCode>
                <c:ptCount val="5"/>
                <c:pt idx="0">
                  <c:v>0.16</c:v>
                </c:pt>
                <c:pt idx="1">
                  <c:v>0.47758543052710578</c:v>
                </c:pt>
                <c:pt idx="2">
                  <c:v>0.39611749988431821</c:v>
                </c:pt>
                <c:pt idx="3">
                  <c:v>0.39177735984018186</c:v>
                </c:pt>
                <c:pt idx="4">
                  <c:v>0.41276105747233766</c:v>
                </c:pt>
              </c:numCache>
            </c:numRef>
          </c:val>
        </c:ser>
        <c:ser>
          <c:idx val="1"/>
          <c:order val="1"/>
          <c:tx>
            <c:strRef>
              <c:f>'[NATO_referendum_2017-02.xlsx]Dynamika'!$A$19</c:f>
              <c:strCache>
                <c:ptCount val="1"/>
                <c:pt idx="0">
                  <c:v>Проти</c:v>
                </c:pt>
              </c:strCache>
            </c:strRef>
          </c:tx>
          <c:spPr>
            <a:pattFill prst="wdUpDiag">
              <a:fgClr>
                <a:schemeClr val="accent2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'[NATO_referendum_2017-02.xlsx]Dynamika'!$B$17:$F$17</c:f>
              <c:strCache>
                <c:ptCount val="5"/>
                <c:pt idx="0">
                  <c:v>2005р</c:v>
                </c:pt>
                <c:pt idx="1">
                  <c:v>2014р</c:v>
                </c:pt>
                <c:pt idx="2">
                  <c:v>2015р</c:v>
                </c:pt>
                <c:pt idx="3">
                  <c:v>2016р</c:v>
                </c:pt>
                <c:pt idx="4">
                  <c:v>2017р</c:v>
                </c:pt>
              </c:strCache>
            </c:strRef>
          </c:cat>
          <c:val>
            <c:numRef>
              <c:f>'[NATO_referendum_2017-02.xlsx]Dynamika'!$B$19:$F$19</c:f>
              <c:numCache>
                <c:formatCode>0%</c:formatCode>
                <c:ptCount val="5"/>
                <c:pt idx="0">
                  <c:v>0.56999999999999995</c:v>
                </c:pt>
                <c:pt idx="1">
                  <c:v>0.32434363411103684</c:v>
                </c:pt>
                <c:pt idx="2">
                  <c:v>0.3403454807425158</c:v>
                </c:pt>
                <c:pt idx="3">
                  <c:v>0.31229247338155985</c:v>
                </c:pt>
                <c:pt idx="4">
                  <c:v>0.31559729969775946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353512"/>
        <c:axId val="426350768"/>
      </c:barChart>
      <c:catAx>
        <c:axId val="42635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6350768"/>
        <c:crosses val="autoZero"/>
        <c:auto val="1"/>
        <c:lblAlgn val="ctr"/>
        <c:lblOffset val="100"/>
        <c:noMultiLvlLbl val="0"/>
      </c:catAx>
      <c:valAx>
        <c:axId val="42635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635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0.53001</cdr:x>
      <cdr:y>0.0302</cdr:y>
    </cdr:from>
    <cdr:to>
      <cdr:x>0.63592</cdr:x>
      <cdr:y>0.17723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95327" y="2021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2017-12-20T08:46:00Z</dcterms:created>
  <dcterms:modified xsi:type="dcterms:W3CDTF">2017-12-20T08:46:00Z</dcterms:modified>
</cp:coreProperties>
</file>